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24 247 vom 12. März 2026</w:t>
      </w:r>
    </w:p>
    <w:p>
      <w:r>
        <w:t>VS Kantonsgericht, 2026-03-12, DE</w:t>
      </w:r>
    </w:p>
    <w:p>
      <w:r>
        <w:rPr>
          <w:b/>
        </w:rPr>
        <w:t xml:space="preserve">Quelle: </w:t>
      </w:r>
      <w:r>
        <w:t>https://mcp.opencaselaw.ch/entscheid/vs_gerichte_A1 24 247</w:t>
      </w:r>
    </w:p>
    <w:p>
      <w:r>
        <w:t>FR: VS_GERICHTE A1 24 247 du 12 mars 2026</w:t>
      </w:r>
    </w:p>
    <w:p>
      <w:r>
        <w:t>IT: VS_GERICHTE A1 24 247 del 12 marzo 2026</w:t>
      </w:r>
    </w:p>
    <w:p>
      <w:pPr>
        <w:pStyle w:val="Heading2"/>
      </w:pPr>
      <w:r>
        <w:t>Erwägungen</w:t>
      </w:r>
    </w:p>
    <w:p>
      <w:r>
        <w:rPr>
          <w:b/>
        </w:rPr>
        <w:t>E. 1.1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Adressaten des angefochtenen Entscheids sowie als Ein- sprecher gegen das Baugesuch durch diesen berührt und haben ein schutzwürdiges Interesse an dessen Änderung oder Aufhebung, sodass sie gemäss Art. 80 Abs. 1 lit. a i.V.m. Art. 44 Abs. 1 lit. a VVRG zur Beschwerdeführung legitimiert sind.</w:t>
      </w:r>
    </w:p>
    <w:p>
      <w:r>
        <w:rPr>
          <w:b/>
        </w:rPr>
        <w:t>E. 1.2.1</w:t>
      </w:r>
    </w:p>
    <w:p>
      <w:r>
        <w:t>Beim angefochtenen Rückweisungsentscheid des Staatsrats handelt es sich um einen Zwischenentscheid (siehe unten E. 4.2). Die Beschwerdefrist gegen Zwischenent- scheide (Art. 41 und 42 VVRG) beträgt gemäss Art. 80 Abs. 1 lit. b i.V.m. Art. 46 Abs. 1 VVRG zehn Tage. Art. 46 Abs. 3 VVRG verweist jedoch auf Art. 14 Abs. 2 VVRG: Wird in einer Verfügung irrtümlich eine längere als die gesetzliche Frist angegeben, so er- wächst der Partei kein Nachteil, sofern sie die angegebene Frist einhält. Dies ist vorlie- gend der Fall: Die Rechtsmittelbelehrung des angefochtenen Entscheids hält fest, es könne innert dreissig Tagen Beschwerde eingereicht werden.</w:t>
      </w:r>
    </w:p>
    <w:p>
      <w:r>
        <w:rPr>
          <w:b/>
        </w:rPr>
        <w:t>E. 1.2.2</w:t>
      </w:r>
    </w:p>
    <w:p>
      <w:r>
        <w:t>Die Regel, wonach einer Partei aus einer mangelhaften Eröffnung keine Nachteile erwachsen dürfen, fliesst aus dem Grundsatz von Treu und Glauben und entspricht ei- nem allgemeinen Rechtsgrundsatz, welche der kantonale Gesetzgeber in Art. 14 Abs. 2 sowie Art. 31 Abs. 1 VVRG kodifiziert hat. Ein Rechtssuchender darf sich jedoch nur auf diese Maxime berufen, wenn er die Mangelhaftigkeit der Rechtsmittelbelehrung nicht erkannt hat und bei gebührender Aufmerksamkeit auch nicht hätte erkennen können, was das Gericht im Einzelfall anhand der konkreten Umstände zu prüfen hat (vgl. dazu das Kantonsgerichtsurteil A1 24 254 vom 18. Dezember 2025 E. 1.2 mit Hinweisen auf die bundesgerichtliche Rechtsprechung). Vorliegend haben die nicht anwaltlich</w:t>
      </w:r>
    </w:p>
    <w:p>
      <w:r>
        <w:t>- 5 - vertretenen Beschwerdeführer, welche juristischer Laien sind, weder aufgrund der Er- wägungen des angefochtenen Entscheids noch durch Konsultation der gesetzlichen Bestimmungen, welche Rückweisungsentscheide nicht ausdrücklich als Zwischenent- scheide nennen (vgl. Art. 41 und 42 VVRG), erkennen können, dass eine kürzere Frist als die in der Rechtsmittelbelehrung genannte Frist von dreissig Tagen gelten könnte. Ihre Beschwerde ist daher als fristgemäss eingereicht zu qualifizieren.</w:t>
      </w:r>
    </w:p>
    <w:p>
      <w:r>
        <w:rPr>
          <w:b/>
        </w:rPr>
        <w:t>E. 1.2.3</w:t>
      </w:r>
    </w:p>
    <w:p>
      <w:r>
        <w:t>Die Beschwerde ist in diesem Sinne (grundsätzlich) als form- und fristgerecht ein- gereicht entgegenzunehmen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den Beschwerdeführern hinterlegten Dokumente zu den Akten genommen. Der Staatsrat hat am 18. Dezember 2024 die Akten des Verwal- tungsbeschwerdeverfahrens und der Gemeinde eingereicht. Es wurden keine weiteren Beweismittel beantragt. Die vorhandenen Akten enthalten die entscheidrelevanten Sachverhaltselemente und genügen, wie die nachfolgenden Erwägungen zeigen, zur Beurteilung der rechtserheblichen Fragen. Deshalb wird auf zusätzliche Beweisabnah- men verzichtet.</w:t>
      </w:r>
    </w:p>
    <w:p>
      <w:r>
        <w:rPr>
          <w:b/>
        </w:rPr>
        <w:t>E. 4.1</w:t>
      </w:r>
    </w:p>
    <w:p>
      <w:r>
        <w:t>Die Beschwerdeführer bringen vor, die umstrittene Anlage sei in der Wohnzone W4 nicht zonenkonform. Sie verursache ideelle Immissionen und die Einhaltung der Grenz- werte der NISV sei zu bezweifeln. Die privaten Interessen seien ungenügend berück- sichtigt. Dadurch seien die Eigentumsgarantie gemäss Art. 26 BV und der Grundsatz der Verhältnismässigkeit gemäss Art. 5 Abs. 2 BV verletzt. Das Bauvorhaben sei zudem mit Art. 3 RPG, Art. 47 BZR sowie Art. 3 NHG nicht zu vereinbaren. Der Staatsrat habe seinen Entscheid ungenügend begründet.</w:t>
      </w:r>
    </w:p>
    <w:p>
      <w:r>
        <w:rPr>
          <w:b/>
        </w:rPr>
        <w:t>E. 4.2</w:t>
      </w:r>
    </w:p>
    <w:p>
      <w:r>
        <w:t>Der Staatsrat legt im angefochtenen Entscheid dar, weshalb die Begründung des Bauabschlags der Gemeinde einer rechtlichen Überprüfung nicht standhält, und weist die Gemeinde an, unter Berücksichtigung dieser Erwägungen sowie der positiven Vor- meinung der DUW einen neuen Bauentscheid zu fällen. Es handelt sich daher beim</w:t>
      </w:r>
    </w:p>
    <w:p>
      <w:r>
        <w:t>- 6 - angefochtenen Rückweisungsentscheid nicht um einen Endentscheid, sondern um ei- nen Zwischenentscheid (vgl. dazu BGE 150 II 346 E. 1.3.4; 145 III 42 E. 2.1). Auf Be- schwerden gegen Vor- oder Zwischenverfügungen kann gemäss Art. 41 Abs. 2 VVRG nur eingetreten werden, wenn diese einen nicht wiedergutzumachenden Nachteil bewir- ken können (Kantonsgerichtsurteile A1 24 228 vom 17. Dezember 2025 E. 4.2 f. mit Hinweisen; A1 24 239 vom 3. September 2025 E. 3.1.3 [zur Publikation in der ZWR vorgesehen]). Sofern die Gefahr eines nicht wiedergutzumachenden Nachteils nicht of- fensichtlich ist, obliegt es der Beschwerde führenden Partei, diesen zu behaupten (Kan- tonsgerichtsurteil A1 24 239 vom 3. September 2025 E. 3.2.1 mit Hinweisen [zur Publi- kation in der ZWR vorgesehen]).</w:t>
      </w:r>
    </w:p>
    <w:p>
      <w:r>
        <w:rPr>
          <w:b/>
        </w:rPr>
        <w:t>E. 4.3</w:t>
      </w:r>
    </w:p>
    <w:p>
      <w:r>
        <w:t>Die Ausführungen der Beschwerdeführer beschränken sich auf Rügen betreffend den geplanten Umbau der Mobilfunkanlage, insbesondere was befürchtete ideelle Im- missionen und eine fehlende Prüfung von Alternativstandorten angeht. Es ist ihrer Be- schwerdeschrift nicht zu entnehmen, dass ihnen ein nicht wiedergutzumachender Nach- teil rechtlicher, tatsächlicher oder wirtschaftlicher Natur im Sinne von Art. 41 Abs. 2 VVRG aus dem Rückweisungsentscheid und dem Zuwarten mit einer Beschwerde bis zum Endentscheid entsteht und ein solcher ist nicht offensichtlich (vgl. das Kantonsge- richtsurteil A1 24 228 vom 17. Dezember 2025 E. 4.3 mit Hinweisen). Die Beschwerde- führer können ihre Argumente gegen den geplanten Umbau der Mobilfunkanlage anläss- lich der Neubeurteilung der Angelegenheit durch die Gemeinde erneut vortragen. Sollte die Gemeinde die Baubewilligung erteilen, steht ihnen gegen diesen Endentscheid wie- derum das Rechtsmittel der Verwaltungsbeschwerde an den Staatsrat zur Verfügung.</w:t>
      </w:r>
    </w:p>
    <w:p>
      <w:r>
        <w:rPr>
          <w:b/>
        </w:rPr>
        <w:t>E. 5</w:t>
      </w:r>
    </w:p>
    <w:p>
      <w:r>
        <w:t>Zusammenfassend legen die Beschwerdeführer keinen nicht wiedergutzumachen- den Nachteil im Sinne von Art. 41 Abs. 2 VVRG durch die Rückweisung der Angelegen- heit an die Gemeinde dar und ein solcher ist nicht offensichtlich. Auf ihre gegen den geplanten Umbau der Mobilfunkanlage gerichteten materiell-rechtlichen Rügen ist daher im vorliegenden Verfahren nicht einzutreten. Es besteht folglich kein Grund, den ange- fochtenen Rückweisungsentscheid des Staatsrats aufzuheben.</w:t>
      </w:r>
    </w:p>
    <w:p>
      <w:r>
        <w:rPr>
          <w:b/>
        </w:rPr>
        <w:t>E. 6.1</w:t>
      </w:r>
    </w:p>
    <w:p>
      <w:r>
        <w:t>Die Verwaltungsgerichtsbeschwerde wird abgewiesen, soweit darauf eingetreten werden kann. Bei diesem Verfahrensausgang gelten die Beschwerdeführer als unterlie- gende Partei mit den entsprechenden Folgen für die Tragung der Kosten und für die Zusprechung einer Parteientschädigung.</w:t>
      </w:r>
    </w:p>
    <w:p>
      <w:r>
        <w:t>- 7 -</w:t>
      </w:r>
    </w:p>
    <w:p>
      <w:r>
        <w:rPr>
          <w:b/>
        </w:rPr>
        <w:t>E. 6.2</w:t>
      </w:r>
    </w:p>
    <w:p>
      <w:r>
        <w:t>Im Beschwerdeverfahren hat in der Regel die unterliegende Partei die Kosten zu tragen (Art. 89 Abs. 1 VVRG). Ausnahmsweise können sie ganz oder teilweise erlassen werden (Art. 89 Abs. 2 VVRG). Vorliegend bestehen keine Gründe, von der Grundregel abzuweichen, weshalb die Beschwerdeführer die Gerichtsgebühr bezahlen müssen. Ge- 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5’000.00 (Art. 25 GTar). Aufgrund der Bedeutung des Falles sowie seines Umfangs und Schwie- rigkeitsgrads wird die Gerichtsgebühr vorliegend auf Fr. 1’500.00 festgesetzt (Art. 13 GTar).</w:t>
      </w:r>
    </w:p>
    <w:p>
      <w:r>
        <w:rPr>
          <w:b/>
        </w:rPr>
        <w:t>E. 6.3</w:t>
      </w:r>
    </w:p>
    <w:p>
      <w:r>
        <w:t>Die Beschwerdeinstanz gewährt der ganz oder teilweise obsiegenden Partei auf Be- gehren die Rückerstattung der notwendigen Kosten, die ihr entstanden sind (Art. 91 Abs. 1 VVRG). Die Entschädigung wird im Dispositiv beziffert und der Staats- oder Ge- meindekasse auferlegt, soweit sie aus Billigkeitsgründen nicht der unterliegenden Partei auferlegt werden kann (Art. 91 Abs. 2 VVRG). Diese ist global festzusetzen und umfasst die Entschädigung an die berechtigte Partei sowie ihre Anwaltskosten (Art. 4 des Geset- zes betreffend den Tarif der Kosten und Entschädigungen vor Gerichts- oder Verwal- tungsbehörden vom 11. Februar 2009 [GTar; SGS/VS 173.8]), die in Anwendung der Art. 27 ff. GTar festzusetzen sind und im Verwaltungsgerichtsbeschwerdeverfahren zwi- schen Fr. 1’100.00 und Fr. 11’000.00 betragen (Art. 39 GTar). Aufgrund des Umfangs, des geschätzten Aufwands, der Bedeutung und der Schwierigkeit des Falles wird der Beschwerdegegnerin, welche durch einen intern angestellten Anwalt vertreten ist, eine Entschädigung in der Höhe von Fr. 1’500.00 zugesprochen, welche von den Beschwer- deführern unter solidarischer Haftbarkeit zu tragen ist. Die Beschwerdeführer haben als unterliegende Partei keinen Anspruch auf eine Parteientschädigung (Art. 91 Abs. 1 VVRG e contrario). Den Behörden oder mit öffentlichen Aufgaben betrauten Organisati- onen, welche obsiegen, darf in der Regel keine Parteientschädigung zugesprochen wer- den (Art. 91 Abs. 3 VVRG). Es besteht vorliegend kein Grund, von dieser Regel abzu- weichen.</w:t>
      </w:r>
    </w:p>
    <w:p>
      <w:r>
        <w:t>- 8 - Demnach erkennt das Kantonsgericht:</w:t>
      </w:r>
    </w:p>
    <w:p>
      <w:r>
        <w:t>1. Auf die Beschwerde wird nicht eingetreten. 2. X _________ und Y _________ bezahlen der Swisscom (Schweiz) AG unter soli- darischer Haftbarkeit eine Parteientschädigung von Fr. 500.00. 3. Die Gerichtskosten von Fr. 1’500.00 werden X _________ und Y _________ unter solidarischer Haftbarkeit auferlegt. 4. Das Urteil wird X _________ und Y _________, der Swisscom (Schweiz) AG, dem Staatsrat des Kantons Wallis und der Einwohnergemeinde Z _________ schriftlich mitgeteilt. Sitten, 12. März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